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Wydajny router Wi-Fi 6 Tenda AX12 Pro dołącza do akcji Tenda Money Back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marki Tenda powiększa się o nowy router Wi-Fi 6. Urządzenie zaprojektowano z myślą o użytkownikach poszukujących szybkiego, stabilnego i bezpiecznego połączenia bezprzewodowego do codziennego streamingu, gier online oraz pracy zdalnej. Model ten jest jednym z dwóch nowych produktów, które dołączają do cashbackowej akcji Tenda Money Back.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wydajność i nowoczesne technologie Wi-Fi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r>
        <w:rPr>
          <w:rFonts w:ascii="calibri" w:hAnsi="calibri" w:eastAsia="calibri" w:cs="calibri"/>
          <w:sz w:val="24"/>
          <w:szCs w:val="24"/>
          <w:b/>
        </w:rPr>
        <w:t xml:space="preserve">Tenda AX12 Pro</w:t>
      </w:r>
      <w:r>
        <w:rPr>
          <w:rFonts w:ascii="calibri" w:hAnsi="calibri" w:eastAsia="calibri" w:cs="calibri"/>
          <w:sz w:val="24"/>
          <w:szCs w:val="24"/>
        </w:rPr>
        <w:t xml:space="preserve"> został wyposażony w zestaw funkcji zapewniających stabilną pracę pod dużym obciążeniem. Urządzenie optymalizuje przepustowość sieci, ogranicza opóźnienia i zapobiega buforowaniu materiałów w wysokiej rozdzielczości.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 Standard Wi-Fi 6 - wyższa przepustowość i szybszy transfer danych (do 2420 Mb/s w paśmie 5 GHz oraz do 574 Mb/s w paśmie 2,4 GHz) oraz szeroki kanał 160 MHz dla sprawniejszego przesyłania plików oraz bezproblemowego streamingu. Gigabitowe porty Ethernet: 3 LAN oraz 1 WAN, pełne wykorzystanie potencjału szybkich łączy światłowodowych i kablowych. Zewnętrzne anteny o wysokim zysku 7/5 dBi z możliwością odchylania do 180 stopni: zapewniają szeroki zasięg, eliminację stref braku sygnału w pomieszczeniach oraz elastyczne wdrożenie. Wi-Fi + oraz EasyMesh: łatwe rozszerzanie zasięgu sieci, zarówno jak i bezprzewodowo. Tworzenie dedykowanej sieci IoT: osobna sieć dla urządzeń smart home. Kontrola rodzicielska: wygodne sterowanie z poziomu smartfona i poleceń głosowych.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temat routera można dowiedzieć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produktowej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AX12 Pro dołącza do akcji cashbackowej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</w:t>
      </w:r>
      <w:r>
        <w:rPr>
          <w:rFonts w:ascii="calibri" w:hAnsi="calibri" w:eastAsia="calibri" w:cs="calibri"/>
          <w:sz w:val="24"/>
          <w:szCs w:val="24"/>
          <w:b/>
        </w:rPr>
        <w:t xml:space="preserve">Tenda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AX12 Pro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BE12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dwa najnowsze produkty dodane do akcji casbackowej </w:t>
      </w:r>
      <w:r>
        <w:rPr>
          <w:rFonts w:ascii="calibri" w:hAnsi="calibri" w:eastAsia="calibri" w:cs="calibri"/>
          <w:sz w:val="24"/>
          <w:szCs w:val="24"/>
          <w:b/>
        </w:rPr>
        <w:t xml:space="preserve">Tenda Money Back</w:t>
      </w:r>
      <w:r>
        <w:rPr>
          <w:rFonts w:ascii="calibri" w:hAnsi="calibri" w:eastAsia="calibri" w:cs="calibri"/>
          <w:sz w:val="24"/>
          <w:szCs w:val="24"/>
        </w:rPr>
        <w:t xml:space="preserve">. Użytkownicy decydujący się na zakup urządzenia w okresie trwania promocji (do 31 grudnia 2026 roku) mogą ubiegać się o częściowy zwrot środków: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b/>
        </w:rPr>
        <w:t xml:space="preserve">20 zł</w:t>
      </w:r>
      <w:r>
        <w:rPr>
          <w:rFonts w:ascii="calibri" w:hAnsi="calibri" w:eastAsia="calibri" w:cs="calibri"/>
          <w:sz w:val="24"/>
          <w:szCs w:val="24"/>
        </w:rPr>
        <w:t xml:space="preserve"> w przypadku routera </w:t>
      </w:r>
      <w:r>
        <w:rPr>
          <w:rFonts w:ascii="calibri" w:hAnsi="calibri" w:eastAsia="calibri" w:cs="calibri"/>
          <w:sz w:val="24"/>
          <w:szCs w:val="24"/>
          <w:b/>
        </w:rPr>
        <w:t xml:space="preserve">AX12 Pro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b/>
        </w:rPr>
        <w:t xml:space="preserve">50 zł</w:t>
      </w:r>
      <w:r>
        <w:rPr>
          <w:rFonts w:ascii="calibri" w:hAnsi="calibri" w:eastAsia="calibri" w:cs="calibri"/>
          <w:sz w:val="24"/>
          <w:szCs w:val="24"/>
        </w:rPr>
        <w:t xml:space="preserve"> w przypadku routera </w:t>
      </w:r>
      <w:r>
        <w:rPr>
          <w:rFonts w:ascii="calibri" w:hAnsi="calibri" w:eastAsia="calibri" w:cs="calibri"/>
          <w:sz w:val="24"/>
          <w:szCs w:val="24"/>
          <w:b/>
        </w:rPr>
        <w:t xml:space="preserve">BE12 Pro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warunki udziału w akcji, lista partnerów handlowych oraz produktów,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także formularz zgłoszeniowy dostępne są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 internetowej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AX12Prov3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tendacn.com/pl/product/BE12Pro" TargetMode="External"/><Relationship Id="rId10" Type="http://schemas.openxmlformats.org/officeDocument/2006/relationships/hyperlink" Target="https://tendamoneybac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2026-08-05T12:36:07+02:00</dcterms:created>
  <dcterms:modified xsi:type="dcterms:W3CDTF">2026-08-05T12:36:07+02:00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